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21970">
      <w:pPr>
        <w:spacing w:line="360" w:lineRule="auto"/>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福建医科大学附属协和医院PET-CT影像报告打印服务项目采购清单及技术要求</w:t>
      </w:r>
      <w:bookmarkStart w:id="0" w:name="_GoBack"/>
      <w:bookmarkEnd w:id="0"/>
    </w:p>
    <w:p w14:paraId="65E27802">
      <w:pPr>
        <w:spacing w:line="360" w:lineRule="auto"/>
        <w:jc w:val="both"/>
        <w:rPr>
          <w:rFonts w:hint="eastAsia"/>
          <w:sz w:val="24"/>
          <w:szCs w:val="24"/>
          <w:lang w:val="en-US" w:eastAsia="zh-CN"/>
        </w:rPr>
      </w:pPr>
      <w:r>
        <w:rPr>
          <w:rFonts w:hint="eastAsia"/>
          <w:sz w:val="24"/>
          <w:szCs w:val="24"/>
          <w:lang w:val="en-US" w:eastAsia="zh-CN"/>
        </w:rPr>
        <w:t>一、项目概况：</w:t>
      </w:r>
    </w:p>
    <w:p w14:paraId="4704A11B">
      <w:pPr>
        <w:spacing w:line="360" w:lineRule="auto"/>
        <w:ind w:firstLine="420"/>
        <w:jc w:val="both"/>
        <w:rPr>
          <w:rFonts w:hint="eastAsia"/>
          <w:sz w:val="24"/>
          <w:szCs w:val="24"/>
          <w:lang w:val="en-US" w:eastAsia="zh-CN"/>
        </w:rPr>
      </w:pPr>
      <w:r>
        <w:rPr>
          <w:rFonts w:hint="eastAsia"/>
          <w:sz w:val="24"/>
          <w:szCs w:val="24"/>
          <w:lang w:val="en-US" w:eastAsia="zh-CN"/>
        </w:rPr>
        <w:t>1、本次采购项目为PET-CT、MR影像报告打印服务项目，用于PET-CT及PET-MR使用，包括但不限于：打印纸供货及配送，封面（上封面、下封面）设计及制作，装订线圈供应、配套打印机供应、安装调试、技术服务及售后服务等，提供软硬件维护保修服和技术支持。</w:t>
      </w:r>
    </w:p>
    <w:p w14:paraId="7641BAC2">
      <w:pPr>
        <w:spacing w:line="360" w:lineRule="auto"/>
        <w:ind w:firstLine="420"/>
        <w:jc w:val="both"/>
        <w:rPr>
          <w:rFonts w:hint="eastAsia"/>
          <w:sz w:val="24"/>
          <w:szCs w:val="24"/>
          <w:lang w:val="en-US" w:eastAsia="zh-CN"/>
        </w:rPr>
      </w:pPr>
      <w:r>
        <w:rPr>
          <w:rFonts w:hint="eastAsia"/>
          <w:sz w:val="24"/>
          <w:szCs w:val="24"/>
          <w:lang w:val="en-US" w:eastAsia="zh-CN"/>
        </w:rPr>
        <w:t>2、服务期：1年</w:t>
      </w:r>
    </w:p>
    <w:p w14:paraId="0E8862FD">
      <w:pPr>
        <w:spacing w:line="360" w:lineRule="auto"/>
        <w:ind w:firstLine="420"/>
        <w:jc w:val="both"/>
        <w:rPr>
          <w:rFonts w:hint="default"/>
          <w:sz w:val="24"/>
          <w:szCs w:val="24"/>
          <w:lang w:val="en-US" w:eastAsia="zh-CN"/>
        </w:rPr>
      </w:pPr>
      <w:r>
        <w:rPr>
          <w:rFonts w:hint="eastAsia"/>
          <w:sz w:val="24"/>
          <w:szCs w:val="24"/>
          <w:lang w:val="en-US" w:eastAsia="zh-CN"/>
        </w:rPr>
        <w:t>3、打印数量：根据采购人在服务器内的打印数量而定。由于该打印数量是一个动态值，预估年打印份数6.5万张，封面2.5万份，装订线圈2.5万条，具体结算以采购人确认后的实际打印张数为准进行结算，各投标人投标单位及总价报价不得超过预算价，否则视为无效报价。本项目非一次性供货，投标人需根据采购人采购需求分批次供货。</w:t>
      </w:r>
    </w:p>
    <w:p w14:paraId="1B1AE2E0">
      <w:pPr>
        <w:numPr>
          <w:ilvl w:val="0"/>
          <w:numId w:val="0"/>
        </w:numPr>
        <w:spacing w:line="360" w:lineRule="auto"/>
        <w:ind w:leftChars="0"/>
        <w:jc w:val="both"/>
        <w:rPr>
          <w:rFonts w:hint="eastAsia"/>
          <w:sz w:val="24"/>
          <w:szCs w:val="24"/>
          <w:lang w:val="en-US" w:eastAsia="zh-CN"/>
        </w:rPr>
      </w:pPr>
      <w:r>
        <w:rPr>
          <w:rFonts w:hint="eastAsia"/>
          <w:sz w:val="24"/>
          <w:szCs w:val="24"/>
          <w:lang w:val="en-US" w:eastAsia="zh-CN"/>
        </w:rPr>
        <w:t>二、技术服务和要求</w:t>
      </w:r>
    </w:p>
    <w:p w14:paraId="47761747">
      <w:pPr>
        <w:numPr>
          <w:ilvl w:val="0"/>
          <w:numId w:val="0"/>
        </w:numPr>
        <w:spacing w:line="360" w:lineRule="auto"/>
        <w:ind w:leftChars="0"/>
        <w:jc w:val="both"/>
        <w:rPr>
          <w:rFonts w:hint="eastAsia"/>
          <w:sz w:val="24"/>
          <w:szCs w:val="24"/>
          <w:lang w:val="en-US" w:eastAsia="zh-CN"/>
        </w:rPr>
      </w:pPr>
      <w:r>
        <w:rPr>
          <w:rFonts w:hint="eastAsia"/>
          <w:sz w:val="24"/>
          <w:szCs w:val="24"/>
          <w:lang w:val="en-US" w:eastAsia="zh-CN"/>
        </w:rPr>
        <w:t>2.1、采购清单：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5"/>
        <w:gridCol w:w="500"/>
        <w:gridCol w:w="1748"/>
        <w:gridCol w:w="1748"/>
        <w:gridCol w:w="1748"/>
      </w:tblGrid>
      <w:tr w14:paraId="6915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tcPr>
          <w:p w14:paraId="19275EA7">
            <w:pPr>
              <w:spacing w:line="360" w:lineRule="auto"/>
              <w:jc w:val="both"/>
              <w:rPr>
                <w:rFonts w:hint="default"/>
                <w:sz w:val="24"/>
                <w:szCs w:val="24"/>
                <w:vertAlign w:val="baseline"/>
                <w:lang w:val="en-US" w:eastAsia="zh-CN"/>
              </w:rPr>
            </w:pPr>
            <w:r>
              <w:rPr>
                <w:rFonts w:hint="eastAsia"/>
                <w:sz w:val="24"/>
                <w:szCs w:val="24"/>
                <w:vertAlign w:val="baseline"/>
                <w:lang w:val="en-US" w:eastAsia="zh-CN"/>
              </w:rPr>
              <w:t>货物名称</w:t>
            </w:r>
          </w:p>
        </w:tc>
        <w:tc>
          <w:tcPr>
            <w:tcW w:w="500" w:type="dxa"/>
          </w:tcPr>
          <w:p w14:paraId="08D4677F">
            <w:pPr>
              <w:spacing w:line="360" w:lineRule="auto"/>
              <w:jc w:val="both"/>
              <w:rPr>
                <w:rFonts w:hint="default"/>
                <w:sz w:val="24"/>
                <w:szCs w:val="24"/>
                <w:vertAlign w:val="baseline"/>
                <w:lang w:val="en-US" w:eastAsia="zh-CN"/>
              </w:rPr>
            </w:pPr>
            <w:r>
              <w:rPr>
                <w:rFonts w:hint="eastAsia"/>
                <w:sz w:val="24"/>
                <w:szCs w:val="24"/>
                <w:vertAlign w:val="baseline"/>
                <w:lang w:val="en-US" w:eastAsia="zh-CN"/>
              </w:rPr>
              <w:t>单位</w:t>
            </w:r>
          </w:p>
        </w:tc>
        <w:tc>
          <w:tcPr>
            <w:tcW w:w="1748" w:type="dxa"/>
          </w:tcPr>
          <w:p w14:paraId="7A1E5893">
            <w:pPr>
              <w:spacing w:line="360" w:lineRule="auto"/>
              <w:jc w:val="both"/>
              <w:rPr>
                <w:rFonts w:hint="default"/>
                <w:sz w:val="24"/>
                <w:szCs w:val="24"/>
                <w:vertAlign w:val="baseline"/>
                <w:lang w:val="en-US" w:eastAsia="zh-CN"/>
              </w:rPr>
            </w:pPr>
            <w:r>
              <w:rPr>
                <w:rFonts w:hint="eastAsia"/>
                <w:sz w:val="24"/>
                <w:szCs w:val="24"/>
                <w:vertAlign w:val="baseline"/>
                <w:lang w:val="en-US" w:eastAsia="zh-CN"/>
              </w:rPr>
              <w:t>预估总量/年</w:t>
            </w:r>
          </w:p>
        </w:tc>
        <w:tc>
          <w:tcPr>
            <w:tcW w:w="1748" w:type="dxa"/>
          </w:tcPr>
          <w:p w14:paraId="5B03BC08">
            <w:pPr>
              <w:spacing w:line="360" w:lineRule="auto"/>
              <w:jc w:val="both"/>
              <w:rPr>
                <w:rFonts w:hint="default"/>
                <w:sz w:val="24"/>
                <w:szCs w:val="24"/>
                <w:vertAlign w:val="baseline"/>
                <w:lang w:val="en-US" w:eastAsia="zh-CN"/>
              </w:rPr>
            </w:pPr>
            <w:r>
              <w:rPr>
                <w:rFonts w:hint="eastAsia"/>
                <w:sz w:val="24"/>
                <w:szCs w:val="24"/>
                <w:vertAlign w:val="baseline"/>
                <w:lang w:val="en-US" w:eastAsia="zh-CN"/>
              </w:rPr>
              <w:t>单价</w:t>
            </w:r>
          </w:p>
        </w:tc>
        <w:tc>
          <w:tcPr>
            <w:tcW w:w="1748" w:type="dxa"/>
          </w:tcPr>
          <w:p w14:paraId="20A22011">
            <w:pPr>
              <w:spacing w:line="360" w:lineRule="auto"/>
              <w:jc w:val="both"/>
              <w:rPr>
                <w:rFonts w:hint="default"/>
                <w:sz w:val="24"/>
                <w:szCs w:val="24"/>
                <w:vertAlign w:val="baseline"/>
                <w:lang w:val="en-US" w:eastAsia="zh-CN"/>
              </w:rPr>
            </w:pPr>
            <w:r>
              <w:rPr>
                <w:rFonts w:hint="eastAsia"/>
                <w:sz w:val="24"/>
                <w:szCs w:val="24"/>
                <w:vertAlign w:val="baseline"/>
                <w:lang w:val="en-US" w:eastAsia="zh-CN"/>
              </w:rPr>
              <w:t>总价</w:t>
            </w:r>
          </w:p>
        </w:tc>
      </w:tr>
      <w:tr w14:paraId="1AF7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tcPr>
          <w:p w14:paraId="254A18CD">
            <w:pPr>
              <w:spacing w:line="360" w:lineRule="auto"/>
              <w:jc w:val="both"/>
              <w:rPr>
                <w:rFonts w:hint="default"/>
                <w:sz w:val="24"/>
                <w:szCs w:val="24"/>
                <w:vertAlign w:val="baseline"/>
                <w:lang w:val="en-US" w:eastAsia="zh-CN"/>
              </w:rPr>
            </w:pPr>
            <w:r>
              <w:rPr>
                <w:rFonts w:hint="eastAsia"/>
                <w:sz w:val="24"/>
                <w:szCs w:val="24"/>
                <w:vertAlign w:val="baseline"/>
                <w:lang w:val="en-US" w:eastAsia="zh-CN"/>
              </w:rPr>
              <w:t>PET-CT、PET-MR打印纸供应服务</w:t>
            </w:r>
          </w:p>
        </w:tc>
        <w:tc>
          <w:tcPr>
            <w:tcW w:w="500" w:type="dxa"/>
          </w:tcPr>
          <w:p w14:paraId="6BE66174">
            <w:pPr>
              <w:spacing w:line="360" w:lineRule="auto"/>
              <w:jc w:val="both"/>
              <w:rPr>
                <w:rFonts w:hint="default"/>
                <w:sz w:val="24"/>
                <w:szCs w:val="24"/>
                <w:vertAlign w:val="baseline"/>
                <w:lang w:val="en-US" w:eastAsia="zh-CN"/>
              </w:rPr>
            </w:pPr>
            <w:r>
              <w:rPr>
                <w:rFonts w:hint="eastAsia"/>
                <w:sz w:val="24"/>
                <w:szCs w:val="24"/>
                <w:vertAlign w:val="baseline"/>
                <w:lang w:val="en-US" w:eastAsia="zh-CN"/>
              </w:rPr>
              <w:t>张</w:t>
            </w:r>
          </w:p>
        </w:tc>
        <w:tc>
          <w:tcPr>
            <w:tcW w:w="1748" w:type="dxa"/>
          </w:tcPr>
          <w:p w14:paraId="072FD407">
            <w:pPr>
              <w:spacing w:line="360" w:lineRule="auto"/>
              <w:jc w:val="both"/>
              <w:rPr>
                <w:rFonts w:hint="default"/>
                <w:sz w:val="24"/>
                <w:szCs w:val="24"/>
                <w:vertAlign w:val="baseline"/>
                <w:lang w:val="en-US" w:eastAsia="zh-CN"/>
              </w:rPr>
            </w:pPr>
            <w:r>
              <w:rPr>
                <w:rFonts w:hint="eastAsia"/>
                <w:sz w:val="24"/>
                <w:szCs w:val="24"/>
                <w:vertAlign w:val="baseline"/>
                <w:lang w:val="en-US" w:eastAsia="zh-CN"/>
              </w:rPr>
              <w:t>65000张</w:t>
            </w:r>
          </w:p>
        </w:tc>
        <w:tc>
          <w:tcPr>
            <w:tcW w:w="1748" w:type="dxa"/>
          </w:tcPr>
          <w:p w14:paraId="7805BE2B">
            <w:pPr>
              <w:spacing w:line="360" w:lineRule="auto"/>
              <w:jc w:val="both"/>
              <w:rPr>
                <w:rFonts w:hint="eastAsia"/>
                <w:sz w:val="24"/>
                <w:szCs w:val="24"/>
                <w:vertAlign w:val="baseline"/>
                <w:lang w:val="en-US" w:eastAsia="zh-CN"/>
              </w:rPr>
            </w:pPr>
          </w:p>
        </w:tc>
        <w:tc>
          <w:tcPr>
            <w:tcW w:w="1748" w:type="dxa"/>
          </w:tcPr>
          <w:p w14:paraId="3279289E">
            <w:pPr>
              <w:spacing w:line="360" w:lineRule="auto"/>
              <w:jc w:val="both"/>
              <w:rPr>
                <w:rFonts w:hint="eastAsia"/>
                <w:sz w:val="24"/>
                <w:szCs w:val="24"/>
                <w:vertAlign w:val="baseline"/>
                <w:lang w:val="en-US" w:eastAsia="zh-CN"/>
              </w:rPr>
            </w:pPr>
          </w:p>
        </w:tc>
      </w:tr>
      <w:tr w14:paraId="3CA7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tcPr>
          <w:p w14:paraId="2B9FB966">
            <w:pPr>
              <w:spacing w:line="360" w:lineRule="auto"/>
              <w:jc w:val="both"/>
              <w:rPr>
                <w:rFonts w:hint="default"/>
                <w:sz w:val="24"/>
                <w:szCs w:val="24"/>
                <w:vertAlign w:val="baseline"/>
                <w:lang w:val="en-US" w:eastAsia="zh-CN"/>
              </w:rPr>
            </w:pPr>
            <w:r>
              <w:rPr>
                <w:rFonts w:hint="eastAsia"/>
                <w:sz w:val="24"/>
                <w:szCs w:val="24"/>
                <w:vertAlign w:val="baseline"/>
                <w:lang w:val="en-US" w:eastAsia="zh-CN"/>
              </w:rPr>
              <w:t>封面设计与制作服务</w:t>
            </w:r>
          </w:p>
        </w:tc>
        <w:tc>
          <w:tcPr>
            <w:tcW w:w="500" w:type="dxa"/>
          </w:tcPr>
          <w:p w14:paraId="212E0562">
            <w:pPr>
              <w:spacing w:line="360" w:lineRule="auto"/>
              <w:jc w:val="both"/>
              <w:rPr>
                <w:rFonts w:hint="default"/>
                <w:sz w:val="24"/>
                <w:szCs w:val="24"/>
                <w:vertAlign w:val="baseline"/>
                <w:lang w:val="en-US" w:eastAsia="zh-CN"/>
              </w:rPr>
            </w:pPr>
            <w:r>
              <w:rPr>
                <w:rFonts w:hint="eastAsia"/>
                <w:sz w:val="24"/>
                <w:szCs w:val="24"/>
                <w:vertAlign w:val="baseline"/>
                <w:lang w:val="en-US" w:eastAsia="zh-CN"/>
              </w:rPr>
              <w:t>份</w:t>
            </w:r>
          </w:p>
        </w:tc>
        <w:tc>
          <w:tcPr>
            <w:tcW w:w="1748" w:type="dxa"/>
          </w:tcPr>
          <w:p w14:paraId="418D224B">
            <w:pPr>
              <w:spacing w:line="360" w:lineRule="auto"/>
              <w:jc w:val="both"/>
              <w:rPr>
                <w:rFonts w:hint="default"/>
                <w:sz w:val="24"/>
                <w:szCs w:val="24"/>
                <w:vertAlign w:val="baseline"/>
                <w:lang w:val="en-US" w:eastAsia="zh-CN"/>
              </w:rPr>
            </w:pPr>
            <w:r>
              <w:rPr>
                <w:rFonts w:hint="eastAsia"/>
                <w:sz w:val="24"/>
                <w:szCs w:val="24"/>
                <w:vertAlign w:val="baseline"/>
                <w:lang w:val="en-US" w:eastAsia="zh-CN"/>
              </w:rPr>
              <w:t>25000份</w:t>
            </w:r>
          </w:p>
        </w:tc>
        <w:tc>
          <w:tcPr>
            <w:tcW w:w="1748" w:type="dxa"/>
          </w:tcPr>
          <w:p w14:paraId="2C1C9EE4">
            <w:pPr>
              <w:spacing w:line="360" w:lineRule="auto"/>
              <w:jc w:val="both"/>
              <w:rPr>
                <w:rFonts w:hint="eastAsia"/>
                <w:sz w:val="24"/>
                <w:szCs w:val="24"/>
                <w:vertAlign w:val="baseline"/>
                <w:lang w:val="en-US" w:eastAsia="zh-CN"/>
              </w:rPr>
            </w:pPr>
          </w:p>
        </w:tc>
        <w:tc>
          <w:tcPr>
            <w:tcW w:w="1748" w:type="dxa"/>
          </w:tcPr>
          <w:p w14:paraId="25A32841">
            <w:pPr>
              <w:spacing w:line="360" w:lineRule="auto"/>
              <w:jc w:val="both"/>
              <w:rPr>
                <w:rFonts w:hint="eastAsia"/>
                <w:sz w:val="24"/>
                <w:szCs w:val="24"/>
                <w:vertAlign w:val="baseline"/>
                <w:lang w:val="en-US" w:eastAsia="zh-CN"/>
              </w:rPr>
            </w:pPr>
          </w:p>
        </w:tc>
      </w:tr>
      <w:tr w14:paraId="1C16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tcPr>
          <w:p w14:paraId="3C94A13B">
            <w:pPr>
              <w:spacing w:line="360" w:lineRule="auto"/>
              <w:jc w:val="both"/>
              <w:rPr>
                <w:rFonts w:hint="default"/>
                <w:sz w:val="24"/>
                <w:szCs w:val="24"/>
                <w:vertAlign w:val="baseline"/>
                <w:lang w:val="en-US" w:eastAsia="zh-CN"/>
              </w:rPr>
            </w:pPr>
            <w:r>
              <w:rPr>
                <w:rFonts w:hint="eastAsia"/>
                <w:sz w:val="24"/>
                <w:szCs w:val="24"/>
                <w:vertAlign w:val="baseline"/>
                <w:lang w:val="en-US" w:eastAsia="zh-CN"/>
              </w:rPr>
              <w:t>装订线圈</w:t>
            </w:r>
          </w:p>
        </w:tc>
        <w:tc>
          <w:tcPr>
            <w:tcW w:w="500" w:type="dxa"/>
          </w:tcPr>
          <w:p w14:paraId="20BA5A26">
            <w:pPr>
              <w:spacing w:line="360" w:lineRule="auto"/>
              <w:jc w:val="both"/>
              <w:rPr>
                <w:rFonts w:hint="default"/>
                <w:sz w:val="24"/>
                <w:szCs w:val="24"/>
                <w:vertAlign w:val="baseline"/>
                <w:lang w:val="en-US" w:eastAsia="zh-CN"/>
              </w:rPr>
            </w:pPr>
            <w:r>
              <w:rPr>
                <w:rFonts w:hint="eastAsia"/>
                <w:sz w:val="24"/>
                <w:szCs w:val="24"/>
                <w:vertAlign w:val="baseline"/>
                <w:lang w:val="en-US" w:eastAsia="zh-CN"/>
              </w:rPr>
              <w:t>条</w:t>
            </w:r>
          </w:p>
        </w:tc>
        <w:tc>
          <w:tcPr>
            <w:tcW w:w="1748" w:type="dxa"/>
          </w:tcPr>
          <w:p w14:paraId="4E3042DA">
            <w:pPr>
              <w:spacing w:line="360" w:lineRule="auto"/>
              <w:jc w:val="both"/>
              <w:rPr>
                <w:rFonts w:hint="default"/>
                <w:sz w:val="24"/>
                <w:szCs w:val="24"/>
                <w:vertAlign w:val="baseline"/>
                <w:lang w:val="en-US" w:eastAsia="zh-CN"/>
              </w:rPr>
            </w:pPr>
            <w:r>
              <w:rPr>
                <w:rFonts w:hint="eastAsia"/>
                <w:sz w:val="24"/>
                <w:szCs w:val="24"/>
                <w:vertAlign w:val="baseline"/>
                <w:lang w:val="en-US" w:eastAsia="zh-CN"/>
              </w:rPr>
              <w:t>25000条</w:t>
            </w:r>
          </w:p>
        </w:tc>
        <w:tc>
          <w:tcPr>
            <w:tcW w:w="1748" w:type="dxa"/>
          </w:tcPr>
          <w:p w14:paraId="554DB566">
            <w:pPr>
              <w:spacing w:line="360" w:lineRule="auto"/>
              <w:jc w:val="both"/>
              <w:rPr>
                <w:rFonts w:hint="eastAsia"/>
                <w:sz w:val="24"/>
                <w:szCs w:val="24"/>
                <w:vertAlign w:val="baseline"/>
                <w:lang w:val="en-US" w:eastAsia="zh-CN"/>
              </w:rPr>
            </w:pPr>
          </w:p>
        </w:tc>
        <w:tc>
          <w:tcPr>
            <w:tcW w:w="1748" w:type="dxa"/>
          </w:tcPr>
          <w:p w14:paraId="4CCDB5EE">
            <w:pPr>
              <w:spacing w:line="360" w:lineRule="auto"/>
              <w:jc w:val="both"/>
              <w:rPr>
                <w:rFonts w:hint="eastAsia"/>
                <w:sz w:val="24"/>
                <w:szCs w:val="24"/>
                <w:vertAlign w:val="baseline"/>
                <w:lang w:val="en-US" w:eastAsia="zh-CN"/>
              </w:rPr>
            </w:pPr>
          </w:p>
        </w:tc>
      </w:tr>
    </w:tbl>
    <w:p w14:paraId="7C7DDD98">
      <w:pPr>
        <w:numPr>
          <w:ilvl w:val="0"/>
          <w:numId w:val="0"/>
        </w:numPr>
        <w:spacing w:line="360" w:lineRule="auto"/>
        <w:ind w:leftChars="0"/>
        <w:jc w:val="both"/>
        <w:rPr>
          <w:rFonts w:hint="eastAsia"/>
          <w:sz w:val="24"/>
          <w:szCs w:val="24"/>
          <w:lang w:val="en-US" w:eastAsia="zh-CN"/>
        </w:rPr>
      </w:pPr>
      <w:r>
        <w:rPr>
          <w:rFonts w:hint="eastAsia"/>
          <w:sz w:val="24"/>
          <w:szCs w:val="24"/>
          <w:lang w:val="en-US" w:eastAsia="zh-CN"/>
        </w:rPr>
        <w:t>2.2、技术和服务要求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7"/>
        <w:gridCol w:w="6215"/>
      </w:tblGrid>
      <w:tr w14:paraId="2FA9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7" w:type="dxa"/>
          </w:tcPr>
          <w:p w14:paraId="58FFAB75">
            <w:pPr>
              <w:numPr>
                <w:ilvl w:val="0"/>
                <w:numId w:val="0"/>
              </w:numPr>
              <w:spacing w:line="360" w:lineRule="auto"/>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编号</w:t>
            </w:r>
          </w:p>
        </w:tc>
        <w:tc>
          <w:tcPr>
            <w:tcW w:w="6215" w:type="dxa"/>
          </w:tcPr>
          <w:p w14:paraId="7CB59B8F">
            <w:pPr>
              <w:numPr>
                <w:ilvl w:val="0"/>
                <w:numId w:val="0"/>
              </w:numPr>
              <w:spacing w:line="360" w:lineRule="auto"/>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需求描述</w:t>
            </w:r>
          </w:p>
        </w:tc>
      </w:tr>
      <w:tr w14:paraId="7F67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66AABF6F">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一</w:t>
            </w:r>
          </w:p>
        </w:tc>
        <w:tc>
          <w:tcPr>
            <w:tcW w:w="6215" w:type="dxa"/>
          </w:tcPr>
          <w:p w14:paraId="497CD5C5">
            <w:pPr>
              <w:keepNext w:val="0"/>
              <w:keepLines w:val="0"/>
              <w:widowControl/>
              <w:suppressLineNumbers w:val="0"/>
              <w:spacing w:line="360" w:lineRule="auto"/>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打印纸供应；</w:t>
            </w:r>
          </w:p>
        </w:tc>
      </w:tr>
      <w:tr w14:paraId="06D4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6C86DDB6">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1、纸张尺寸：</w:t>
            </w:r>
          </w:p>
        </w:tc>
        <w:tc>
          <w:tcPr>
            <w:tcW w:w="6215" w:type="dxa"/>
          </w:tcPr>
          <w:p w14:paraId="4F99C7C5">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210*297；</w:t>
            </w:r>
          </w:p>
        </w:tc>
      </w:tr>
      <w:tr w14:paraId="549D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1EB219A3">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2、纸张厚度：</w:t>
            </w:r>
          </w:p>
        </w:tc>
        <w:tc>
          <w:tcPr>
            <w:tcW w:w="6215" w:type="dxa"/>
          </w:tcPr>
          <w:p w14:paraId="58F1352C">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▲≥230g；</w:t>
            </w:r>
          </w:p>
        </w:tc>
      </w:tr>
      <w:tr w14:paraId="5318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51851CE8">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3、包装规格：</w:t>
            </w:r>
          </w:p>
        </w:tc>
        <w:tc>
          <w:tcPr>
            <w:tcW w:w="6215" w:type="dxa"/>
          </w:tcPr>
          <w:p w14:paraId="36A32DF7">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1400张/箱；</w:t>
            </w:r>
          </w:p>
        </w:tc>
      </w:tr>
      <w:tr w14:paraId="4592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7" w:type="dxa"/>
          </w:tcPr>
          <w:p w14:paraId="292A6227">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4、幅面：</w:t>
            </w:r>
          </w:p>
        </w:tc>
        <w:tc>
          <w:tcPr>
            <w:tcW w:w="6215" w:type="dxa"/>
          </w:tcPr>
          <w:p w14:paraId="0829D873">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A4；</w:t>
            </w:r>
          </w:p>
        </w:tc>
      </w:tr>
      <w:tr w14:paraId="12DA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115BF05A">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5、供应速度：</w:t>
            </w:r>
          </w:p>
        </w:tc>
        <w:tc>
          <w:tcPr>
            <w:tcW w:w="6215" w:type="dxa"/>
          </w:tcPr>
          <w:p w14:paraId="19EDA8E1">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收到供货通知后，30分钟内到达；</w:t>
            </w:r>
          </w:p>
        </w:tc>
      </w:tr>
      <w:tr w14:paraId="0EC0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0CD342B0">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6、供应管理：</w:t>
            </w:r>
          </w:p>
        </w:tc>
        <w:tc>
          <w:tcPr>
            <w:tcW w:w="6215" w:type="dxa"/>
          </w:tcPr>
          <w:p w14:paraId="493393CB">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提供软件线上管理服务；</w:t>
            </w:r>
          </w:p>
        </w:tc>
      </w:tr>
      <w:tr w14:paraId="220F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00DBD9DC">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二、</w:t>
            </w:r>
          </w:p>
        </w:tc>
        <w:tc>
          <w:tcPr>
            <w:tcW w:w="6215" w:type="dxa"/>
          </w:tcPr>
          <w:p w14:paraId="11BDACA9">
            <w:pPr>
              <w:keepNext w:val="0"/>
              <w:keepLines w:val="0"/>
              <w:widowControl/>
              <w:suppressLineNumbers w:val="0"/>
              <w:spacing w:line="360" w:lineRule="auto"/>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封面制作与设计</w:t>
            </w:r>
          </w:p>
        </w:tc>
      </w:tr>
      <w:tr w14:paraId="248A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7BFF01F7">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1、上封面尺寸：</w:t>
            </w:r>
          </w:p>
        </w:tc>
        <w:tc>
          <w:tcPr>
            <w:tcW w:w="6215" w:type="dxa"/>
          </w:tcPr>
          <w:p w14:paraId="333AEE1E">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210*297；</w:t>
            </w:r>
          </w:p>
        </w:tc>
      </w:tr>
      <w:tr w14:paraId="79DA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6709F962">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2、下封面尺寸：</w:t>
            </w:r>
          </w:p>
        </w:tc>
        <w:tc>
          <w:tcPr>
            <w:tcW w:w="6215" w:type="dxa"/>
          </w:tcPr>
          <w:p w14:paraId="24ADFA75">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210*297；</w:t>
            </w:r>
          </w:p>
        </w:tc>
      </w:tr>
      <w:tr w14:paraId="04F1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30D1FA68">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3、幅面：</w:t>
            </w:r>
          </w:p>
        </w:tc>
        <w:tc>
          <w:tcPr>
            <w:tcW w:w="6215" w:type="dxa"/>
          </w:tcPr>
          <w:p w14:paraId="3698614E">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A4</w:t>
            </w:r>
          </w:p>
        </w:tc>
      </w:tr>
      <w:tr w14:paraId="65D7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191A5EF2">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4、纸张厚度：</w:t>
            </w:r>
          </w:p>
        </w:tc>
        <w:tc>
          <w:tcPr>
            <w:tcW w:w="6215" w:type="dxa"/>
          </w:tcPr>
          <w:p w14:paraId="198D76F4">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≥230g</w:t>
            </w:r>
          </w:p>
        </w:tc>
      </w:tr>
      <w:tr w14:paraId="3820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6A04C494">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5、设计风格与内容：</w:t>
            </w:r>
          </w:p>
        </w:tc>
        <w:tc>
          <w:tcPr>
            <w:tcW w:w="6215" w:type="dxa"/>
          </w:tcPr>
          <w:p w14:paraId="2B972601">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突出协和医院主题，运用构图、色彩、图案等知识。</w:t>
            </w:r>
          </w:p>
        </w:tc>
      </w:tr>
      <w:tr w14:paraId="58F0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6B8513F6">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6、布局与排版：</w:t>
            </w:r>
          </w:p>
        </w:tc>
        <w:tc>
          <w:tcPr>
            <w:tcW w:w="6215" w:type="dxa"/>
          </w:tcPr>
          <w:p w14:paraId="1AB8C662">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布局简洁、清晰，确保关键信息一目了然</w:t>
            </w:r>
          </w:p>
        </w:tc>
      </w:tr>
      <w:tr w14:paraId="670B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3806141E">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7、色彩选择：</w:t>
            </w:r>
          </w:p>
        </w:tc>
        <w:tc>
          <w:tcPr>
            <w:tcW w:w="6215" w:type="dxa"/>
          </w:tcPr>
          <w:p w14:paraId="2CF1E9C7">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颜色与医院主色调相协调，以增加医院形象得一致性。</w:t>
            </w:r>
          </w:p>
        </w:tc>
      </w:tr>
      <w:tr w14:paraId="3DCE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0EEBF830">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三、</w:t>
            </w:r>
          </w:p>
        </w:tc>
        <w:tc>
          <w:tcPr>
            <w:tcW w:w="6215" w:type="dxa"/>
          </w:tcPr>
          <w:p w14:paraId="167CD0DD">
            <w:pPr>
              <w:keepNext w:val="0"/>
              <w:keepLines w:val="0"/>
              <w:widowControl/>
              <w:suppressLineNumbers w:val="0"/>
              <w:spacing w:line="360" w:lineRule="auto"/>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装订线圈</w:t>
            </w:r>
          </w:p>
        </w:tc>
      </w:tr>
      <w:tr w14:paraId="5895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00DE58F5">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规格：</w:t>
            </w:r>
          </w:p>
        </w:tc>
        <w:tc>
          <w:tcPr>
            <w:tcW w:w="6215" w:type="dxa"/>
          </w:tcPr>
          <w:p w14:paraId="5675EE1E">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11.1mm</w:t>
            </w:r>
            <w:r>
              <w:rPr>
                <w:rFonts w:hint="eastAsia" w:asciiTheme="minorEastAsia" w:hAnsiTheme="minorEastAsia" w:cstheme="minorEastAsia"/>
                <w:sz w:val="24"/>
                <w:szCs w:val="24"/>
                <w:vertAlign w:val="baseline"/>
                <w:lang w:val="en-US" w:eastAsia="zh-CN"/>
              </w:rPr>
              <w:t>*</w:t>
            </w:r>
            <w:r>
              <w:rPr>
                <w:rFonts w:hint="eastAsia" w:asciiTheme="minorEastAsia" w:hAnsiTheme="minorEastAsia" w:eastAsiaTheme="minorEastAsia" w:cstheme="minorEastAsia"/>
                <w:sz w:val="24"/>
                <w:szCs w:val="24"/>
                <w:vertAlign w:val="baseline"/>
                <w:lang w:val="en-US" w:eastAsia="zh-CN"/>
              </w:rPr>
              <w:t>34齿</w:t>
            </w:r>
          </w:p>
        </w:tc>
      </w:tr>
      <w:tr w14:paraId="7497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6B25E43C">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颜色：</w:t>
            </w:r>
          </w:p>
        </w:tc>
        <w:tc>
          <w:tcPr>
            <w:tcW w:w="6215" w:type="dxa"/>
          </w:tcPr>
          <w:p w14:paraId="4DBDDFE7">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白色</w:t>
            </w:r>
          </w:p>
        </w:tc>
      </w:tr>
      <w:tr w14:paraId="4B37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4D098B0B">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材质：</w:t>
            </w:r>
          </w:p>
        </w:tc>
        <w:tc>
          <w:tcPr>
            <w:tcW w:w="6215" w:type="dxa"/>
          </w:tcPr>
          <w:p w14:paraId="7B242566">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材料</w:t>
            </w:r>
            <w:r>
              <w:rPr>
                <w:rFonts w:hint="eastAsia" w:asciiTheme="minorEastAsia" w:hAnsiTheme="minorEastAsia" w:cstheme="minorEastAsia"/>
                <w:sz w:val="24"/>
                <w:szCs w:val="24"/>
                <w:vertAlign w:val="baseline"/>
                <w:lang w:val="en-US" w:eastAsia="zh-CN"/>
              </w:rPr>
              <w:t>无</w:t>
            </w:r>
            <w:r>
              <w:rPr>
                <w:rFonts w:hint="eastAsia" w:asciiTheme="minorEastAsia" w:hAnsiTheme="minorEastAsia" w:eastAsiaTheme="minorEastAsia" w:cstheme="minorEastAsia"/>
                <w:sz w:val="24"/>
                <w:szCs w:val="24"/>
                <w:vertAlign w:val="baseline"/>
                <w:lang w:val="en-US" w:eastAsia="zh-CN"/>
              </w:rPr>
              <w:t>毒、无害符合环保安全标准</w:t>
            </w:r>
          </w:p>
        </w:tc>
      </w:tr>
      <w:tr w14:paraId="7836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60031C25">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四、</w:t>
            </w:r>
          </w:p>
        </w:tc>
        <w:tc>
          <w:tcPr>
            <w:tcW w:w="6215" w:type="dxa"/>
          </w:tcPr>
          <w:p w14:paraId="38974D4B">
            <w:pPr>
              <w:keepNext w:val="0"/>
              <w:keepLines w:val="0"/>
              <w:widowControl/>
              <w:suppressLineNumbers w:val="0"/>
              <w:spacing w:line="360" w:lineRule="auto"/>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打印机及售后</w:t>
            </w:r>
          </w:p>
        </w:tc>
      </w:tr>
      <w:tr w14:paraId="3F8A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46E3FB90">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1、幅面</w:t>
            </w:r>
          </w:p>
        </w:tc>
        <w:tc>
          <w:tcPr>
            <w:tcW w:w="6215" w:type="dxa"/>
          </w:tcPr>
          <w:p w14:paraId="56678984">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A3、A4；</w:t>
            </w:r>
          </w:p>
        </w:tc>
      </w:tr>
      <w:tr w14:paraId="3B07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5AF94804">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2、复印/打印速度：</w:t>
            </w:r>
          </w:p>
        </w:tc>
        <w:tc>
          <w:tcPr>
            <w:tcW w:w="6215" w:type="dxa"/>
          </w:tcPr>
          <w:p w14:paraId="32D4EBF3">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≥70张/分钟；</w:t>
            </w:r>
          </w:p>
        </w:tc>
      </w:tr>
      <w:tr w14:paraId="1DBD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1F1447F1">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3、首页复印时间：</w:t>
            </w:r>
          </w:p>
        </w:tc>
        <w:tc>
          <w:tcPr>
            <w:tcW w:w="6215" w:type="dxa"/>
          </w:tcPr>
          <w:p w14:paraId="1BBEC095">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≤5秒</w:t>
            </w:r>
          </w:p>
        </w:tc>
      </w:tr>
      <w:tr w14:paraId="27E2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427D13A1">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4、预热时间</w:t>
            </w:r>
          </w:p>
        </w:tc>
        <w:tc>
          <w:tcPr>
            <w:tcW w:w="6215" w:type="dxa"/>
          </w:tcPr>
          <w:p w14:paraId="0D7152D0">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≤30秒</w:t>
            </w:r>
          </w:p>
        </w:tc>
      </w:tr>
      <w:tr w14:paraId="73B7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45E86134">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5、复印分辨率</w:t>
            </w:r>
          </w:p>
        </w:tc>
        <w:tc>
          <w:tcPr>
            <w:tcW w:w="6215" w:type="dxa"/>
          </w:tcPr>
          <w:p w14:paraId="3E509F02">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≥1200dpi</w:t>
            </w:r>
          </w:p>
        </w:tc>
      </w:tr>
      <w:tr w14:paraId="1E2E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62464BD6">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6、打印分辨率</w:t>
            </w:r>
          </w:p>
        </w:tc>
        <w:tc>
          <w:tcPr>
            <w:tcW w:w="6215" w:type="dxa"/>
          </w:tcPr>
          <w:p w14:paraId="755B580D">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≥2400dpi</w:t>
            </w:r>
          </w:p>
        </w:tc>
      </w:tr>
      <w:tr w14:paraId="7793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318C003F">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7、扫描速度</w:t>
            </w:r>
          </w:p>
        </w:tc>
        <w:tc>
          <w:tcPr>
            <w:tcW w:w="6215" w:type="dxa"/>
          </w:tcPr>
          <w:p w14:paraId="4F6240D4">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≥120页/分钟（黑彩同速）；</w:t>
            </w:r>
          </w:p>
        </w:tc>
      </w:tr>
      <w:tr w14:paraId="5B90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1CF9EBB1">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8、内存容量</w:t>
            </w:r>
          </w:p>
        </w:tc>
        <w:tc>
          <w:tcPr>
            <w:tcW w:w="6215" w:type="dxa"/>
          </w:tcPr>
          <w:p w14:paraId="4273FCD5">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≥4G；</w:t>
            </w:r>
          </w:p>
        </w:tc>
      </w:tr>
      <w:tr w14:paraId="110D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2ECCBB0F">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9、硬盘容量</w:t>
            </w:r>
          </w:p>
        </w:tc>
        <w:tc>
          <w:tcPr>
            <w:tcW w:w="6215" w:type="dxa"/>
          </w:tcPr>
          <w:p w14:paraId="185D9BDF">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≥250G；</w:t>
            </w:r>
          </w:p>
        </w:tc>
      </w:tr>
      <w:tr w14:paraId="721F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3D5B2765">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10、纸盒</w:t>
            </w:r>
          </w:p>
        </w:tc>
        <w:tc>
          <w:tcPr>
            <w:tcW w:w="6215" w:type="dxa"/>
          </w:tcPr>
          <w:p w14:paraId="10B6C259">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≥2个（供纸容量2000页+）；</w:t>
            </w:r>
          </w:p>
        </w:tc>
      </w:tr>
      <w:tr w14:paraId="3997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6F8393B3">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11、中文触控屏</w:t>
            </w:r>
          </w:p>
        </w:tc>
        <w:tc>
          <w:tcPr>
            <w:tcW w:w="6215" w:type="dxa"/>
          </w:tcPr>
          <w:p w14:paraId="44882D9F">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≥7英寸；</w:t>
            </w:r>
          </w:p>
        </w:tc>
      </w:tr>
      <w:tr w14:paraId="7815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72FCB1B4">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12、功能：</w:t>
            </w:r>
          </w:p>
        </w:tc>
        <w:tc>
          <w:tcPr>
            <w:tcW w:w="6215" w:type="dxa"/>
          </w:tcPr>
          <w:p w14:paraId="6D1CF608">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▲自动双面复印、自动双面网络打印、网络彩色扫描、U盘扫描、打印、标配防卡纸功能；</w:t>
            </w:r>
          </w:p>
        </w:tc>
      </w:tr>
      <w:tr w14:paraId="0549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118C5DC4">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13、配置：</w:t>
            </w:r>
          </w:p>
        </w:tc>
        <w:tc>
          <w:tcPr>
            <w:tcW w:w="6215" w:type="dxa"/>
          </w:tcPr>
          <w:p w14:paraId="1939ECFD">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主机+双面自动送稿器+双面器+原装工作台；</w:t>
            </w:r>
          </w:p>
        </w:tc>
      </w:tr>
      <w:tr w14:paraId="4742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06F335A9">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14、装订：</w:t>
            </w:r>
          </w:p>
        </w:tc>
        <w:tc>
          <w:tcPr>
            <w:tcW w:w="6215" w:type="dxa"/>
          </w:tcPr>
          <w:p w14:paraId="1F144A23">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可实现装订及折叠装订，分页、分组、折页、装订及成册功能；边订、角订、鞍式装订及三折和折叠功能、排纸处理器、连接组件，实现边订、角订、中央装订、对折；</w:t>
            </w:r>
          </w:p>
        </w:tc>
      </w:tr>
      <w:tr w14:paraId="711E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1AEAD1FE">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15、打印语言：</w:t>
            </w:r>
          </w:p>
        </w:tc>
        <w:tc>
          <w:tcPr>
            <w:tcW w:w="6215" w:type="dxa"/>
          </w:tcPr>
          <w:p w14:paraId="1EE79878">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▲标配UFII+PS+PCL打印语言；</w:t>
            </w:r>
          </w:p>
        </w:tc>
      </w:tr>
      <w:tr w14:paraId="55FD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7" w:type="dxa"/>
          </w:tcPr>
          <w:p w14:paraId="6116E2FC">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16、标配：</w:t>
            </w:r>
          </w:p>
        </w:tc>
        <w:tc>
          <w:tcPr>
            <w:tcW w:w="6215" w:type="dxa"/>
          </w:tcPr>
          <w:p w14:paraId="6FC77302">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扫描文件编辑、搜索，PDF格式文件编辑、转换；</w:t>
            </w:r>
          </w:p>
        </w:tc>
      </w:tr>
      <w:tr w14:paraId="0698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44976990">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17、标配印量管理系统：</w:t>
            </w:r>
          </w:p>
        </w:tc>
        <w:tc>
          <w:tcPr>
            <w:tcW w:w="6215" w:type="dxa"/>
          </w:tcPr>
          <w:p w14:paraId="630F9FD2">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支持刷卡取件、漫游打印、指定取件、权限设定、印量查询、自定报表、自动删除；</w:t>
            </w:r>
          </w:p>
        </w:tc>
      </w:tr>
      <w:tr w14:paraId="69F7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7B94EE9E">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18、软件服务：</w:t>
            </w:r>
          </w:p>
        </w:tc>
        <w:tc>
          <w:tcPr>
            <w:tcW w:w="6215" w:type="dxa"/>
          </w:tcPr>
          <w:p w14:paraId="443D001D">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▲提供打印量分析、打印量查询、印量明细分析、故障记录明细及查询、故障明细分析、提供数据迁移及软件备份；</w:t>
            </w:r>
          </w:p>
        </w:tc>
      </w:tr>
      <w:tr w14:paraId="7C44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39FDF015">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19、标配：</w:t>
            </w:r>
          </w:p>
        </w:tc>
        <w:tc>
          <w:tcPr>
            <w:tcW w:w="6215" w:type="dxa"/>
          </w:tcPr>
          <w:p w14:paraId="71D5B62C">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支持移动办公手机打印。</w:t>
            </w:r>
          </w:p>
        </w:tc>
      </w:tr>
      <w:tr w14:paraId="4644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7F3B6682">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五、</w:t>
            </w:r>
          </w:p>
        </w:tc>
        <w:tc>
          <w:tcPr>
            <w:tcW w:w="6215" w:type="dxa"/>
          </w:tcPr>
          <w:p w14:paraId="3DBF4781">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配送服务</w:t>
            </w:r>
          </w:p>
        </w:tc>
      </w:tr>
      <w:tr w14:paraId="1181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3D5A4236">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1、配送时效</w:t>
            </w:r>
          </w:p>
        </w:tc>
        <w:tc>
          <w:tcPr>
            <w:tcW w:w="6215" w:type="dxa"/>
          </w:tcPr>
          <w:p w14:paraId="16B3CCB3">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▲接到配送通知后30分钟送达；</w:t>
            </w:r>
          </w:p>
        </w:tc>
      </w:tr>
      <w:tr w14:paraId="3AFC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Pr>
          <w:p w14:paraId="015D08F5">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2、专用配送车</w:t>
            </w:r>
          </w:p>
        </w:tc>
        <w:tc>
          <w:tcPr>
            <w:tcW w:w="6215" w:type="dxa"/>
          </w:tcPr>
          <w:p w14:paraId="3E359E10">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须有专人专车进行配送服务；</w:t>
            </w:r>
          </w:p>
        </w:tc>
      </w:tr>
      <w:tr w14:paraId="2B19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vMerge w:val="restart"/>
          </w:tcPr>
          <w:p w14:paraId="77331518">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3、配送管理软件</w:t>
            </w:r>
          </w:p>
        </w:tc>
        <w:tc>
          <w:tcPr>
            <w:tcW w:w="6215" w:type="dxa"/>
          </w:tcPr>
          <w:p w14:paraId="0F6C5E9D">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▲①可以通过微信扫描二维码进行配送下单通知；（需要提供功能录屏操作,内容：要求步骤清楚，讲解明白，)</w:t>
            </w:r>
          </w:p>
        </w:tc>
      </w:tr>
      <w:tr w14:paraId="3832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vMerge w:val="continue"/>
          </w:tcPr>
          <w:p w14:paraId="045EA032">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p>
        </w:tc>
        <w:tc>
          <w:tcPr>
            <w:tcW w:w="6215" w:type="dxa"/>
          </w:tcPr>
          <w:p w14:paraId="1CF1D9FB">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▲②可追踪配送位置（需要提供功能录屏操作,内容：要求步骤清楚，讲解明白，)</w:t>
            </w:r>
          </w:p>
        </w:tc>
      </w:tr>
      <w:tr w14:paraId="712B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vMerge w:val="continue"/>
          </w:tcPr>
          <w:p w14:paraId="2C7C6C94">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p>
        </w:tc>
        <w:tc>
          <w:tcPr>
            <w:tcW w:w="6215" w:type="dxa"/>
          </w:tcPr>
          <w:p w14:paraId="2287EBDE">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③具有数据统计功能。可按照日、月、年进行打印数量统计；</w:t>
            </w:r>
          </w:p>
        </w:tc>
      </w:tr>
      <w:tr w14:paraId="3010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307" w:type="dxa"/>
            <w:vMerge w:val="continue"/>
          </w:tcPr>
          <w:p w14:paraId="1363D748">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p>
        </w:tc>
        <w:tc>
          <w:tcPr>
            <w:tcW w:w="6215" w:type="dxa"/>
          </w:tcPr>
          <w:p w14:paraId="44E2F588">
            <w:pPr>
              <w:numPr>
                <w:ilvl w:val="0"/>
                <w:numId w:val="0"/>
              </w:numPr>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▲④至少能与前一年内打印数量、供应产品信息等数据进行对接，并可以查询相关数据。（需提供承诺函）</w:t>
            </w:r>
          </w:p>
        </w:tc>
      </w:tr>
    </w:tbl>
    <w:p w14:paraId="1CC1696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ascii="宋体" w:hAnsi="宋体" w:eastAsia="宋体" w:cs="宋体"/>
          <w:b/>
          <w:bCs/>
          <w:i w:val="0"/>
          <w:iCs w:val="0"/>
          <w:caps w:val="0"/>
          <w:color w:val="404040"/>
          <w:spacing w:val="0"/>
          <w:sz w:val="24"/>
          <w:szCs w:val="24"/>
          <w:highlight w:val="none"/>
          <w:lang w:val="en-US" w:eastAsia="zh-CN"/>
        </w:rPr>
      </w:pPr>
      <w:r>
        <w:rPr>
          <w:rFonts w:hint="eastAsia" w:ascii="宋体" w:hAnsi="宋体" w:eastAsia="宋体" w:cs="宋体"/>
          <w:b/>
          <w:bCs/>
          <w:i w:val="0"/>
          <w:iCs w:val="0"/>
          <w:caps w:val="0"/>
          <w:color w:val="404040"/>
          <w:spacing w:val="0"/>
          <w:sz w:val="24"/>
          <w:szCs w:val="24"/>
          <w:highlight w:val="none"/>
          <w:lang w:val="en-US" w:eastAsia="zh-CN"/>
        </w:rPr>
        <w:t>三、商务条件</w:t>
      </w:r>
    </w:p>
    <w:p w14:paraId="7813E5E3">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1、交付地点：福建医科大学附属协和医院（含于山院区和旗山院区）。</w:t>
      </w:r>
    </w:p>
    <w:p w14:paraId="2C592B72">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ab/>
      </w:r>
      <w:r>
        <w:rPr>
          <w:rFonts w:hint="eastAsia" w:ascii="宋体" w:hAnsi="宋体" w:eastAsia="宋体" w:cs="宋体"/>
          <w:sz w:val="24"/>
          <w:szCs w:val="24"/>
          <w:lang w:val="en-US" w:eastAsia="zh-CN"/>
        </w:rPr>
        <w:t>2、交付时间：合同签订后3天内开始供货。服务期限1年。</w:t>
      </w:r>
    </w:p>
    <w:p w14:paraId="5B5AFCD6">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ab/>
      </w:r>
      <w:r>
        <w:rPr>
          <w:rFonts w:hint="eastAsia" w:ascii="宋体" w:hAnsi="宋体" w:eastAsia="宋体" w:cs="宋体"/>
          <w:sz w:val="24"/>
          <w:szCs w:val="24"/>
          <w:lang w:val="en-US" w:eastAsia="zh-CN"/>
        </w:rPr>
        <w:t>3、交付条件：经采购人验收合格。</w:t>
      </w:r>
    </w:p>
    <w:p w14:paraId="0A3FB734">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4、是否收取履约保证金： 否</w:t>
      </w:r>
    </w:p>
    <w:p w14:paraId="3270CA59">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5、验收方式数据表格</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64"/>
        <w:gridCol w:w="6658"/>
      </w:tblGrid>
      <w:tr w14:paraId="595564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FFFFFF"/>
            <w:vAlign w:val="center"/>
          </w:tcPr>
          <w:p w14:paraId="47D43EB7">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FFFFFF"/>
            <w:vAlign w:val="center"/>
          </w:tcPr>
          <w:p w14:paraId="0B41F830">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验收期次说明</w:t>
            </w:r>
          </w:p>
        </w:tc>
      </w:tr>
      <w:tr w14:paraId="7C0718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A425D58">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DE73541">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中标人分批供货，并供货完成。在此期间临床科室如有问题需按要求解决。</w:t>
            </w:r>
          </w:p>
        </w:tc>
      </w:tr>
    </w:tbl>
    <w:p w14:paraId="2B398921">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6、支付方式数据表格</w:t>
      </w:r>
    </w:p>
    <w:tbl>
      <w:tblPr>
        <w:tblStyle w:val="6"/>
        <w:tblW w:w="502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70"/>
        <w:gridCol w:w="1670"/>
        <w:gridCol w:w="5025"/>
      </w:tblGrid>
      <w:tr w14:paraId="769612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Header/>
        </w:trPr>
        <w:tc>
          <w:tcPr>
            <w:tcW w:w="998" w:type="pct"/>
            <w:tcBorders>
              <w:top w:val="outset" w:color="auto" w:sz="6" w:space="0"/>
              <w:left w:val="outset" w:color="auto" w:sz="6" w:space="0"/>
              <w:bottom w:val="outset" w:color="auto" w:sz="6" w:space="0"/>
              <w:right w:val="outset" w:color="auto" w:sz="6" w:space="0"/>
            </w:tcBorders>
            <w:shd w:val="clear" w:color="auto" w:fill="FFFFFF"/>
            <w:vAlign w:val="center"/>
          </w:tcPr>
          <w:p w14:paraId="6735A5F3">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支付期次</w:t>
            </w:r>
          </w:p>
        </w:tc>
        <w:tc>
          <w:tcPr>
            <w:tcW w:w="998" w:type="pct"/>
            <w:tcBorders>
              <w:top w:val="outset" w:color="auto" w:sz="6" w:space="0"/>
              <w:left w:val="outset" w:color="auto" w:sz="6" w:space="0"/>
              <w:bottom w:val="outset" w:color="auto" w:sz="6" w:space="0"/>
              <w:right w:val="outset" w:color="auto" w:sz="6" w:space="0"/>
            </w:tcBorders>
            <w:shd w:val="clear" w:color="auto" w:fill="FFFFFF"/>
            <w:vAlign w:val="center"/>
          </w:tcPr>
          <w:p w14:paraId="17F07AFE">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支付比例(%)</w:t>
            </w:r>
          </w:p>
        </w:tc>
        <w:tc>
          <w:tcPr>
            <w:tcW w:w="3002" w:type="pct"/>
            <w:tcBorders>
              <w:top w:val="outset" w:color="auto" w:sz="6" w:space="0"/>
              <w:left w:val="outset" w:color="auto" w:sz="6" w:space="0"/>
              <w:bottom w:val="outset" w:color="auto" w:sz="6" w:space="0"/>
              <w:right w:val="outset" w:color="auto" w:sz="6" w:space="0"/>
            </w:tcBorders>
            <w:shd w:val="clear" w:color="auto" w:fill="FFFFFF"/>
            <w:vAlign w:val="center"/>
          </w:tcPr>
          <w:p w14:paraId="0EFC2DD5">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支付期次说明</w:t>
            </w:r>
          </w:p>
        </w:tc>
      </w:tr>
      <w:tr w14:paraId="4F8CBA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74D4DCC">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6B12996">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323D6C6">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根据采购人要求，提供相同货物送至指定仓库后，待采购人入库验收完成后。在满足付款条件</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0日内采购人支付本次采购量的货款。</w:t>
            </w:r>
          </w:p>
        </w:tc>
      </w:tr>
    </w:tbl>
    <w:p w14:paraId="2717D3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420" w:firstLineChars="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中标人提供与采购人付款金额等额且被采购人所在地税务部门认可的合法有效的增值税发票，采购人收到发票后遵循本院管理制度与规范付款，否则采购人有权拒绝付款且不承担违约责任，中标人不得以此为由拒绝履行本合同项下的义务。</w:t>
      </w:r>
    </w:p>
    <w:p w14:paraId="50D22E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7</w:t>
      </w:r>
      <w:r>
        <w:rPr>
          <w:rFonts w:hint="eastAsia" w:ascii="宋体" w:hAnsi="宋体" w:eastAsia="宋体" w:cs="宋体"/>
          <w:kern w:val="0"/>
          <w:sz w:val="24"/>
          <w:szCs w:val="24"/>
          <w:lang w:val="en-US" w:eastAsia="zh-CN"/>
        </w:rPr>
        <w:t>、货物包装方式</w:t>
      </w:r>
    </w:p>
    <w:p w14:paraId="40E039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7</w:t>
      </w:r>
      <w:r>
        <w:rPr>
          <w:rFonts w:hint="eastAsia" w:ascii="宋体" w:hAnsi="宋体" w:eastAsia="宋体" w:cs="宋体"/>
          <w:kern w:val="0"/>
          <w:sz w:val="24"/>
          <w:szCs w:val="24"/>
          <w:lang w:val="en-US" w:eastAsia="zh-CN"/>
        </w:rPr>
        <w:t>.1包装：打印纸的供货、配套打印机交货时应按国家有关标准要求进行包装。</w:t>
      </w:r>
    </w:p>
    <w:p w14:paraId="00C72C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7</w:t>
      </w:r>
      <w:r>
        <w:rPr>
          <w:rFonts w:hint="eastAsia" w:ascii="宋体" w:hAnsi="宋体" w:eastAsia="宋体" w:cs="宋体"/>
          <w:kern w:val="0"/>
          <w:sz w:val="24"/>
          <w:szCs w:val="24"/>
          <w:lang w:val="en-US" w:eastAsia="zh-CN"/>
        </w:rPr>
        <w:t>.2方式：包装必须与运输方式相适应，包装方式的确定及包装费用均由中标人负责；由于不适当的包装而造成货物在运输过程中有任何损坏由中标人负责。</w:t>
      </w:r>
    </w:p>
    <w:p w14:paraId="29E9E9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注：包装应足以承受整个过程中的运输、转运、装卸、储存等，充分考虑到运输途中的各种情况(如暴露于恶劣气候等)和项目所在地的气候特点，以及露天存放的需要。</w:t>
      </w:r>
    </w:p>
    <w:p w14:paraId="7DCBD5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8</w:t>
      </w:r>
      <w:r>
        <w:rPr>
          <w:rFonts w:hint="eastAsia" w:ascii="宋体" w:hAnsi="宋体" w:eastAsia="宋体" w:cs="宋体"/>
          <w:kern w:val="0"/>
          <w:sz w:val="24"/>
          <w:szCs w:val="24"/>
          <w:lang w:val="en-US" w:eastAsia="zh-CN"/>
        </w:rPr>
        <w:t>、验收标准：</w:t>
      </w:r>
    </w:p>
    <w:p w14:paraId="4D3BE1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8</w:t>
      </w:r>
      <w:r>
        <w:rPr>
          <w:rFonts w:hint="eastAsia" w:ascii="宋体" w:hAnsi="宋体" w:eastAsia="宋体" w:cs="宋体"/>
          <w:kern w:val="0"/>
          <w:sz w:val="24"/>
          <w:szCs w:val="24"/>
          <w:lang w:val="en-US" w:eastAsia="zh-CN"/>
        </w:rPr>
        <w:t>.1.中标人如有调换产品，降低产品等级标准或提供存在质量缺陷产品，采购人有权责令中标人在规定的时间内更换质量达标产品。中标人如有以少充多，以劣充优，以假充真的，采购人有权利不予验收，造成的一切后果由中标人自行承担。</w:t>
      </w:r>
    </w:p>
    <w:p w14:paraId="48A3EA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8</w:t>
      </w:r>
      <w:r>
        <w:rPr>
          <w:rFonts w:hint="eastAsia" w:ascii="宋体" w:hAnsi="宋体" w:eastAsia="宋体" w:cs="宋体"/>
          <w:kern w:val="0"/>
          <w:sz w:val="24"/>
          <w:szCs w:val="24"/>
          <w:lang w:val="en-US" w:eastAsia="zh-CN"/>
        </w:rPr>
        <w:t>.2检验标准：产品质量应达到设计要求，招标文件及合同中要求的所有配置应符合要求；安装调试各项指标和技术参数应符合招标文件规定的技术要求和有关验收标准要求。计量设备应能通过计量部门的验收。所有产品必须是原装包装，产品外观应无破损、裂缝和缺陷且标识清晰。若发现原包装破损或保修条款不满足要求，采购人有权不予接收，并要求中标人无条件免费重新更换，并按合同条款的有关规定执行。</w:t>
      </w:r>
    </w:p>
    <w:p w14:paraId="31C37C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、违约责任</w:t>
      </w:r>
    </w:p>
    <w:p w14:paraId="04AACD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.1 如乙方不按规定与甲方签订合同，视为该乙方自动放弃中标资格，由此给甲方造成损失的，乙方应赔偿甲方所受的损失。</w:t>
      </w:r>
    </w:p>
    <w:p w14:paraId="41AB20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2在签订采购合同之后，有下列情形之一的，将视为乙方违约，甲方有权从履约保证金中取得补偿（如有提交履约保证金的），违约金不足以弥补甲方损失的，甲方可进一步提出追索和索赔：（1）签订合同后，乙方未按合同规定提供服务的。（2）乙方逾期交付的，每逾期一天，按合同总金额的3‰支付违约金，违约金累计计算。（3）乙方逾期提供服务超30天，甲方有权单方解除或提前终止本合同。（4）乙方未能按本合同约定履行其义务的。（5）在签订采购合同之后，乙方要求解除本合同的。</w:t>
      </w:r>
    </w:p>
    <w:p w14:paraId="252A71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.3甲方无正当理由未能按本合同要求时间支付项目款项的，每逾期一天，按逾期金额的万分之一支付违约金，但乙方不得以此为由拒绝履行本合同项下的义务。逾期超过90天，乙方有权终止本合同。</w:t>
      </w:r>
    </w:p>
    <w:p w14:paraId="4899D7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.4 除本合同另有约定外，如乙方违反本合同约定义务且在甲方书面通知后仍无法在书面通知上载明的时限内纠正违约行为或过错行为的，甲方有权单方解除本合同。</w:t>
      </w:r>
    </w:p>
    <w:p w14:paraId="7BB334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.5因乙方原因发生重大质量事故，除依约承担赔偿责任外，还将按有关质量管理办法规定执行。同时，甲方有权单方解除本合同，保留更换中标人的权利。</w:t>
      </w:r>
    </w:p>
    <w:p w14:paraId="30D4C7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.6因乙方原因发生重大安全事故或特大安全事故，除按国家有关安全管理规定及甲方有关安全管理办法执行外，甲方有权提前终止本合同，给甲方造成的损失，还应承担赔偿责任。</w:t>
      </w:r>
    </w:p>
    <w:p w14:paraId="406966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.7 因乙方原因导致甲方单方解除或提前终止本合同的，甲方有权拒绝向乙方支付任何款项，乙方应退还给甲方已支付的所有款项，并向甲方支付相当于合同总金额20%的违约金。若非乙方原因导致合同解除的，乙方有权就已完成的履约部分收取相应合同款项。</w:t>
      </w:r>
    </w:p>
    <w:p w14:paraId="3362D8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404040"/>
          <w:spacing w:val="0"/>
          <w:kern w:val="0"/>
          <w:sz w:val="24"/>
          <w:szCs w:val="24"/>
          <w:highlight w:val="none"/>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.8因乙方违约，甲方为实现债权及甲方为行使解除权而产生的一切费用（包括但不限于诉讼费或仲裁费、律师费、财产保全费、评估鉴定费、执行费、拍卖费、差旅费等）均由乙方承担。</w:t>
      </w:r>
    </w:p>
    <w:p w14:paraId="0100E5B3">
      <w:pPr>
        <w:numPr>
          <w:ilvl w:val="0"/>
          <w:numId w:val="0"/>
        </w:numPr>
        <w:jc w:val="both"/>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N2RkOTBjZDdkZjJkOGZmNWZmODhmMWZlYzJkNTcifQ=="/>
  </w:docVars>
  <w:rsids>
    <w:rsidRoot w:val="00000000"/>
    <w:rsid w:val="03913E39"/>
    <w:rsid w:val="09BE6112"/>
    <w:rsid w:val="0A3B7763"/>
    <w:rsid w:val="0C3608C4"/>
    <w:rsid w:val="0D7D6CFA"/>
    <w:rsid w:val="17523A86"/>
    <w:rsid w:val="1CDB1537"/>
    <w:rsid w:val="20FC5674"/>
    <w:rsid w:val="230406E1"/>
    <w:rsid w:val="29651C0D"/>
    <w:rsid w:val="2BC453B2"/>
    <w:rsid w:val="32A55811"/>
    <w:rsid w:val="35B27D87"/>
    <w:rsid w:val="38A43ED1"/>
    <w:rsid w:val="3C1A2DCC"/>
    <w:rsid w:val="45EE5A3B"/>
    <w:rsid w:val="4ED65279"/>
    <w:rsid w:val="5573796A"/>
    <w:rsid w:val="56262CB0"/>
    <w:rsid w:val="57824796"/>
    <w:rsid w:val="610417D1"/>
    <w:rsid w:val="65476131"/>
    <w:rsid w:val="6711452F"/>
    <w:rsid w:val="6F1562FA"/>
    <w:rsid w:val="6F297B74"/>
    <w:rsid w:val="780E07AA"/>
    <w:rsid w:val="79BC1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textAlignment w:val="baseline"/>
    </w:pPr>
    <w:rPr>
      <w:rFonts w:ascii="Cambria" w:hAnsi="Cambria" w:cs="Times New Roman"/>
      <w:b/>
      <w:bCs/>
      <w:kern w:val="2"/>
      <w:sz w:val="32"/>
      <w:szCs w:val="32"/>
      <w:lang w:val="en-US" w:eastAsia="zh-CN" w:bidi="ar-SA"/>
    </w:rPr>
  </w:style>
  <w:style w:type="paragraph" w:styleId="3">
    <w:name w:val="Plain Text"/>
    <w:basedOn w:val="1"/>
    <w:next w:val="1"/>
    <w:qFormat/>
    <w:uiPriority w:val="0"/>
    <w:rPr>
      <w:rFonts w:ascii="宋体" w:hAnsi="Courier New" w:eastAsia="宋体" w:cs="Courier New"/>
      <w:sz w:val="24"/>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2899</Words>
  <Characters>3072</Characters>
  <Lines>0</Lines>
  <Paragraphs>0</Paragraphs>
  <TotalTime>16</TotalTime>
  <ScaleCrop>false</ScaleCrop>
  <LinksUpToDate>false</LinksUpToDate>
  <CharactersWithSpaces>3078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2024-07-24T02:35:00Z</dcterms:created>
  <dc:creator>30913</dc:creator>
  <cp:lastModifiedBy>Growl - </cp:lastModifiedBy>
  <dcterms:modified xsi:type="dcterms:W3CDTF">2024-07-25T02:35:40Z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7ED7379A2D39465A855F746B59059DCE_12</vt:lpwstr>
  </property>
</Properties>
</file>